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29</w:t>
      </w:r>
    </w:p>
    <w:p>
      <w:r>
        <w:t>Bundesgericht (BGE), 1981-05-13, DE</w:t>
      </w:r>
    </w:p>
    <w:p>
      <w:r>
        <w:rPr>
          <w:b/>
        </w:rPr>
        <w:t xml:space="preserve">Quelle: </w:t>
      </w:r>
      <w:r>
        <w:t>https://mcp.opencaselaw.ch/entscheid/bge_107 IV 29</w:t>
      </w:r>
    </w:p>
    <w:p>
      <w:r>
        <w:t>FR: ATF 107 IV 29</w:t>
      </w:r>
    </w:p>
    <w:p>
      <w:r>
        <w:t>IT: DTF 107 IV 29</w:t>
      </w:r>
    </w:p>
    <w:p>
      <w:pPr>
        <w:pStyle w:val="Heading2"/>
      </w:pPr>
      <w:r>
        <w:t>Regeste</w:t>
      </w:r>
    </w:p>
    <w:p>
      <w:r>
        <w:t>Regeste Art. 64 StGB, achtungswerte Beweggründe. Begriff. Bedeutung politischer Motive.</w:t>
      </w:r>
    </w:p>
    <w:p>
      <w:pPr>
        <w:pStyle w:val="Heading2"/>
      </w:pPr>
      <w:r>
        <w:t>Erwägungen</w:t>
      </w:r>
    </w:p>
    <w:p>
      <w:r>
        <w:rPr>
          <w:b/>
        </w:rPr>
        <w:t>E. 2</w:t>
      </w:r>
    </w:p>
    <w:p>
      <w:r>
        <w:t>a) Nach Art. 64 StGB kann der Richter die Strafe mildern, wenn der Täter aus achtungswerten Beweggründen gehandelt hat. Die Ermittlung des Beweggrundes der Tat gehört zu den tatsächlichen Feststellungen, die der kantonale Richter für den Kassationshof verbindlich trifft ( Art. 277bis Abs. 1 BStP ). ob der Beweggrund achtungswert sei, ist eine Rechtsfrage, die sich nach der Rangordnung ethischer Werte beurteilt, welche von der Gemeinschaft anerkannt werden. Der Beweggrund ist an sich unabhängig von der Tat und ihrem Verhältnis zum verfolgten Zweck. Die vom Täter vorausgesehenen Gefahren und Folgen der Tat können eine so grosse Rücksichtslosigkeit kundtun, dass diese die Schuld mehr erhöht, als der an sich achtungswerte Beweggrund sie zu mildern vermag. Politische Motive sind nicht an sich achtungswert. Sie können es sein, können aber auch ethisch neutral oder gar verwerflich sein ( BGE 104 IV 245 ). b) Hinsichtlich des Beweggrundes des Beschwerdeführers C. hielt die Vorinstanz für das Bundesgericht verbindlich folgendes fest: Nach der Mittelschule habe der Beschwerdeführer seine BGE 107 IV 29 S. 31 damals bereits bestehende oppositionelle Haltung in eine revolutionäre und anarchistische Lebensauffassung gesteigert, um dem kapitalistischen und verschwenderischen Staat zu trotzen. Möge er anfänglich auch aus ehrlicher gesellschaftskritischer Überzeugung und aus idealen Beweggründen die Verhältnisse in Gesellschaft, Staat und Wirtschaft für unbefriedigend und verbesserungswürdig gehalten haben, so sei das geeignete Mittel für ihn doch von Anfang an und ausschliesslich der revolutionäre Kampf gewesen, der sich in einem blinden Zerstören erschöpfe. In dieser Haltung habe er sich zu Gewaltaktionen gesteigert, die von reinen Hass- und Rachegefühlen geleitet worden seien. Er habe Gewalt als das noch einzig richtige Mittel bezeichnet, um die von ihm kritisierten Zustände zu bekämpfen. Seine Angriffsziele seien vor allem Objekte gewesen, die "nach Staat und Wirtschaft schmeckten". Sein Bestreben habe sich nicht darauf beschränkt, die Mitmenschen von gesellschaftlich oder politisch unbefriedigenden Zuständen wegzubringen und ihnen eine bessere und erträglichere Welt zu schaffen, sondern er habe die Zerstörung der staatlichen Ordnung überhaupt im Auge gehabt. c) In rechtlicher Beziehung nahm die Vorinstanz an, derartige Beweggründe könnten nicht als achtungswert im Sinne von Art. 64 StGB betrachtet werden. Darin ist ihr beizupflichten. Unsere rechtsstaatliche Ordnung gibt jedem verschiedene Möglichkeiten, im Rahmen des geltenden Rechts mit demokratischen und erlaubten Mitteln für ihre Veränderung oder Verbesserung zu kämpfen. Verbrecherische Gewaltaktionen der vorliegenden Art, die anarchistische Ziele verfolgen und unsere staatliche Ordnung zu verändern oder zu vernichten suchen, sind nicht Handlungen, welche von der Gemeinschaft als höhere ethische Werte anerkannt werden, gleichgültig welchen Ideologien sie entspringen mögen. Der Beschwerdeführer wendet ein, der revolutionäre Kampf als Mittel mache die Beweggründe noch nicht zum vornherein verwerflich; die Absicht, dem Menschen eine bessere Welt zu verschaffen, bleibe auch dann idealistisch, wenn durch die Wahl der Mittel die bestehende Wirtschafts- und Gesellschaftsordnung getroffen werden wolle. Dem kann beigepflichtet werden, solange der Kampf um eine bessere Welt mit den gesetzlich erlaubten Mitteln unserer Rechtsordnung geführt wird. Wo dieser Kampf aber zum Verbrechen greift und Menschenleben gefährdet, kann er sich nicht mehr auf achtungswerte Beweggründe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